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Олександр ШКОДИЧ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здобувач 1 курсу магістратури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спеціальності 017 Фізична культура і спорт,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освітньо-професійна програма «Фізична культура і спорт»,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Науковий керівник: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 ГАХ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педагогічних наук, доцент,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466C0" w:rsidRDefault="004466C0" w:rsidP="004466C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СУЧАСНІ ЗАСОБИ В МЕТОДИ РОЗВИТКУ РУХОВИХ ЯКОСТЕЙ МЕТАЛЬНИКІВ ДИСКУ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Style w:val="a4"/>
          <w:sz w:val="16"/>
          <w:szCs w:val="16"/>
        </w:rPr>
      </w:pPr>
    </w:p>
    <w:p w:rsidR="004466C0" w:rsidRDefault="004466C0" w:rsidP="004466C0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Для досягнення значних результатів у легкій атлетиці необхідна багаторічна, систематична робота, спрямована на розвиток рухових якос</w:t>
      </w:r>
      <w:r>
        <w:rPr>
          <w:rStyle w:val="a4"/>
          <w:sz w:val="28"/>
          <w:szCs w:val="28"/>
        </w:rPr>
        <w:softHyphen/>
        <w:t>тей, оволодіння технікою видів спорту та виховання психологічної стій</w:t>
      </w:r>
      <w:r>
        <w:rPr>
          <w:rStyle w:val="a4"/>
          <w:sz w:val="28"/>
          <w:szCs w:val="28"/>
        </w:rPr>
        <w:softHyphen/>
        <w:t>кості.</w:t>
      </w:r>
      <w:r>
        <w:rPr>
          <w:sz w:val="28"/>
          <w:szCs w:val="28"/>
        </w:rPr>
        <w:t xml:space="preserve"> Як правило, високих результатів досягають спортсмени, які розпочи</w:t>
      </w:r>
      <w:r>
        <w:rPr>
          <w:sz w:val="28"/>
          <w:szCs w:val="28"/>
        </w:rPr>
        <w:softHyphen/>
        <w:t xml:space="preserve">нають тренування в ранньому віці та продовжують їх протягом усього життя. Зміст навчально-тренувальних занять, методи, форми та їх організація суттєво змінюються протягом багаторічної підготовки легкоатлетів </w:t>
      </w:r>
      <w:r>
        <w:rPr>
          <w:sz w:val="28"/>
          <w:szCs w:val="28"/>
          <w:lang w:val="ru-RU"/>
        </w:rPr>
        <w:t>[2]</w:t>
      </w:r>
      <w:r>
        <w:rPr>
          <w:sz w:val="28"/>
          <w:szCs w:val="28"/>
        </w:rPr>
        <w:t>.</w:t>
      </w:r>
    </w:p>
    <w:p w:rsidR="004466C0" w:rsidRDefault="004466C0" w:rsidP="004466C0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Багаторічну підготовку легкоатлетів слід планувати з урахуванням їхнього вікового розвитку та особливостей універсальної легкоатлетичної програми.</w:t>
      </w:r>
      <w:r>
        <w:rPr>
          <w:sz w:val="28"/>
          <w:szCs w:val="28"/>
        </w:rPr>
        <w:t xml:space="preserve"> При цьому важливо не перевищувати межі фізіологічних можли</w:t>
      </w:r>
      <w:r>
        <w:rPr>
          <w:sz w:val="28"/>
          <w:szCs w:val="28"/>
        </w:rPr>
        <w:softHyphen/>
        <w:t>востей спортсменів, які займаються різними видами легкої атлетики</w:t>
      </w:r>
      <w:r>
        <w:rPr>
          <w:sz w:val="28"/>
          <w:szCs w:val="28"/>
          <w:lang w:val="ru-RU"/>
        </w:rPr>
        <w:t xml:space="preserve"> [3]</w:t>
      </w:r>
      <w:r>
        <w:rPr>
          <w:sz w:val="28"/>
          <w:szCs w:val="28"/>
        </w:rPr>
        <w:t>.</w:t>
      </w:r>
    </w:p>
    <w:p w:rsidR="004466C0" w:rsidRDefault="004466C0" w:rsidP="004466C0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rStyle w:val="a4"/>
          <w:sz w:val="28"/>
          <w:szCs w:val="28"/>
        </w:rPr>
        <w:t>З метою оптимізації підготовки майбутніх олімпійців пропонується використовувати «вікову класифікацію» легкоатлетичної програми.</w:t>
      </w:r>
      <w:r>
        <w:rPr>
          <w:sz w:val="28"/>
          <w:szCs w:val="28"/>
        </w:rPr>
        <w:t xml:space="preserve"> Ця класифікація узагальнює всі види легкої атлетики з урахуванням вікових особ</w:t>
      </w:r>
      <w:r>
        <w:rPr>
          <w:sz w:val="28"/>
          <w:szCs w:val="28"/>
        </w:rPr>
        <w:softHyphen/>
        <w:t>ливостей спортсменів. Її можна використовувати для планування підготовки з урахуванням оптимального віку, що дозволить диференціювати багаторічну підготовку в різних групах</w:t>
      </w:r>
      <w:r>
        <w:rPr>
          <w:sz w:val="28"/>
          <w:szCs w:val="28"/>
          <w:lang w:val="ru-RU"/>
        </w:rPr>
        <w:t xml:space="preserve"> [1].</w:t>
      </w:r>
    </w:p>
    <w:p w:rsidR="004466C0" w:rsidRDefault="004466C0" w:rsidP="004466C0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З метою вирішення цього завдання в тренувальний процес легко</w:t>
      </w:r>
      <w:r>
        <w:rPr>
          <w:rStyle w:val="a4"/>
          <w:sz w:val="28"/>
          <w:szCs w:val="28"/>
        </w:rPr>
        <w:softHyphen/>
        <w:t>атлетів можуть бути впроваджені спеціальні вправи та тренажерні пристрої.</w:t>
      </w:r>
      <w:r>
        <w:rPr>
          <w:sz w:val="28"/>
          <w:szCs w:val="28"/>
        </w:rPr>
        <w:t xml:space="preserve"> Їх цінність полягає в можливості цілеспрямованого впливу на окремі м’язи або їх групи. За результатами наукових досліджень, навантаження при виконанні таких вправ на весь організм є відносно невеликим, що дозволяє сут</w:t>
      </w:r>
      <w:r>
        <w:rPr>
          <w:sz w:val="28"/>
          <w:szCs w:val="28"/>
        </w:rPr>
        <w:softHyphen/>
        <w:t xml:space="preserve">тєво підвищити обсяг та інтенсивність </w:t>
      </w:r>
      <w:proofErr w:type="spellStart"/>
      <w:r>
        <w:rPr>
          <w:sz w:val="28"/>
          <w:szCs w:val="28"/>
        </w:rPr>
        <w:t>швидкісно</w:t>
      </w:r>
      <w:proofErr w:type="spellEnd"/>
      <w:r>
        <w:rPr>
          <w:sz w:val="28"/>
          <w:szCs w:val="28"/>
        </w:rPr>
        <w:t>-силового тренування. Додат</w:t>
      </w:r>
      <w:r>
        <w:rPr>
          <w:sz w:val="28"/>
          <w:szCs w:val="28"/>
        </w:rPr>
        <w:softHyphen/>
        <w:t>ковою перевагою є можливість точного дозування та обліку виконуваних вправ.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Класифікація спеціальних силових вправ ґрунтується на їхньому впливі на м’язи різних частин тіла. Це дозволяє підібрати оптимальний комплекс вправ для розвитку конкретних м’язових груп.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Спеціальні силові вправи поділяються на чотири основні групи: для м’язів рук, тулуба, ніг та загально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силові. Кожна група вправ має свою специфіку та спрямована на розвиток певних м’язових якостей.</w:t>
      </w:r>
      <w:r>
        <w:rPr>
          <w:rFonts w:ascii="Times New Roman" w:hAnsi="Times New Roman" w:cs="Times New Roman"/>
          <w:sz w:val="28"/>
          <w:szCs w:val="28"/>
        </w:rPr>
        <w:t xml:space="preserve"> При виборі комплексу спеціальних силових вправ важливо враховувати мету тренування, рівень підготовки спортсмена та його індивідуальні особливості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466C0" w:rsidRDefault="004466C0" w:rsidP="004466C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ЛІТЕРАТУРА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1. Дух Т. І. Спрямованість засобів тренування легкоатлетів попередньої базової підготовки / Дух Тетяна Ігорівна,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Савчин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Софія Євгенівна //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Formation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innovative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potential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world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collection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papers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«SCIENTIA»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with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Theoretical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May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7, 2021.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State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Israel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). –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Tel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Aviv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Platform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2021. –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Vol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2. – Р. 130–131.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2. Гребенюк О. В. Удосконалення фізичної та технічної підготовленості легкоатлетів 16–18 років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дис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...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канд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наук з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фіз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виховання і спорту (д-ра філософії) : 017 / Гребенюк Олег Вікторович. – Дніпро, 2020. – 227 с.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3. Козлов К. В. Структура і зміст підготовки легкоатлетів у першій стадії багато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softHyphen/>
        <w:t xml:space="preserve">річного вдосконалення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дис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...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канд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наук. з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фіз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виховання : [спец.] 24. 00.01 «Олімпійський і професійний спорт» / Козлов Кирило Валерійович;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Нац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ун-т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фіз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виховання і спорту України. – Київ, 2020. – 25 с.</w:t>
      </w:r>
    </w:p>
    <w:p w:rsidR="004466C0" w:rsidRDefault="004466C0" w:rsidP="004466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Мохаммед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Ф. Р. Реалізація інтенсивного підходу до участі кваліфікованих спортс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softHyphen/>
        <w:t xml:space="preserve">менів у змаганнях у системі річної підготовки (на матеріалі легкої атлетики)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дис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...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канд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наук з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фіз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виховання і спорту : [спец.] 24.00.01 «Олімпійський і професійний спорт» /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Мохаммед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Фахмі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Рабін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;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Нац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ун-т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фіз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виховання і спорту України. – Київ, 2021. – 23 с.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02"/>
    <w:rsid w:val="000870D8"/>
    <w:rsid w:val="00325602"/>
    <w:rsid w:val="004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D6472-66E1-4F52-AE50-ECA6DB0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C0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46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2493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2024-11-21T14:01:00Z</dcterms:created>
  <dcterms:modified xsi:type="dcterms:W3CDTF">2024-11-21T14:01:00Z</dcterms:modified>
</cp:coreProperties>
</file>