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E85" w:rsidRPr="009C2DC9" w:rsidRDefault="00FB6E85" w:rsidP="009C2DC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Горбенко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Данило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ячеславович</w:t>
      </w:r>
      <w:proofErr w:type="spellEnd"/>
      <w:r w:rsidR="009C2D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здобувач другого (магістерського) рівня вищої освіти, освітньо-професійна програма «Фізична культура і спорт», Західноукраїнський національний університет, </w:t>
      </w:r>
      <w:r w:rsidR="009C2D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кафедра фізичної реабілітації і спорту.</w:t>
      </w:r>
    </w:p>
    <w:p w:rsidR="00FB6E85" w:rsidRPr="009C2DC9" w:rsidRDefault="00FB6E85" w:rsidP="009C2DC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Маляр Едуард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Імрейович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DC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кафедри фізичної реабілітації і спорту.</w:t>
      </w:r>
    </w:p>
    <w:p w:rsidR="00E81550" w:rsidRPr="005F4F0F" w:rsidRDefault="00E81550" w:rsidP="00BA2104">
      <w:pPr>
        <w:spacing w:line="360" w:lineRule="auto"/>
        <w:ind w:left="3540"/>
        <w:jc w:val="right"/>
        <w:rPr>
          <w:rFonts w:ascii="Times New Roman" w:hAnsi="Times New Roman" w:cs="Times New Roman"/>
          <w:sz w:val="28"/>
          <w:szCs w:val="28"/>
        </w:rPr>
      </w:pPr>
    </w:p>
    <w:p w:rsidR="00ED5D99" w:rsidRDefault="00ED5D99" w:rsidP="00ED5D99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A3A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ОЦІНКА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ГОТОВНОСТІ ТА </w:t>
      </w:r>
      <w:r w:rsidRPr="00AA3A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УСПІШНОСТІ ВИСТУПУ </w:t>
      </w:r>
    </w:p>
    <w:p w:rsidR="00ED5D99" w:rsidRPr="00AA3AC0" w:rsidRDefault="00ED5D99" w:rsidP="00ED5D99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A3A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СПОРТСМЕНА У ЗМАГАННЯХ</w:t>
      </w:r>
    </w:p>
    <w:p w:rsidR="00ED5D99" w:rsidRDefault="00ED5D99" w:rsidP="00ED5D99">
      <w:pPr>
        <w:widowControl/>
        <w:autoSpaceDE/>
        <w:autoSpaceDN/>
        <w:adjustRightInd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5D99" w:rsidRPr="00ED2D21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Аналізуючи роботи ряду дослідників</w:t>
      </w:r>
      <w:r w:rsidRPr="00ED2D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можна припустити, що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«…</w:t>
      </w:r>
      <w:r w:rsidRPr="00ED2D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успішного виступу в змаганні необхідно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процес визначення стану готовності спортсмена </w:t>
      </w:r>
      <w:r w:rsidRPr="00ED2D21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спрямувати до односпрямованих змін показників тестів, що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характеризують рівень його підготовленості»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[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1, 4, 7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]</w:t>
      </w:r>
      <w:r w:rsidRPr="00ED2D2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D5D99" w:rsidRPr="00CF3776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776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обґрунтування та вирішення досліджуваного питання необхідно уточнити такі суттєві моменти.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F37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Під готовністю ми розуміємо не локальний процес, 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«…</w:t>
      </w:r>
      <w:r w:rsidRPr="00CF3776">
        <w:rPr>
          <w:rFonts w:ascii="Times New Roman" w:eastAsiaTheme="minorHAnsi" w:hAnsi="Times New Roman" w:cs="Times New Roman"/>
          <w:sz w:val="28"/>
          <w:szCs w:val="28"/>
          <w:lang w:eastAsia="en-US"/>
        </w:rPr>
        <w:t>цілісний стан спортсмена, і тому, говорячи про оперативний стан, що сприяє максимальній реалізації можливостей, ми називаємо його - станом готовності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[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2, 6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]</w:t>
      </w:r>
      <w:r w:rsidRPr="00CF377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D5D99" w:rsidRPr="00CF3776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F377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формуванні стану готовності у спортсмена, за нашим припущенням, необхідно враховувати: реакцію спортсмена на майбутнє змагання; характер динаміки показників тестів, що характеризують стан спортсмена; ступінь виразності стану готовності спортсмена; вміння спортсмена адекватно передбачати можливі труднощі; результативність виступу.</w:t>
      </w:r>
    </w:p>
    <w:p w:rsidR="00ED5D99" w:rsidRPr="008E2A44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зміну показників тестів, що характеризують стан готовності спортс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мена до змагання, давно прикуто увагу фахівців. Вони зазначають</w:t>
      </w: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що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«…</w:t>
      </w: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t>у передстартовому стані латентний період словесних реакцій скорочується порівняно з пе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ріодом до тренування. Ц</w:t>
      </w: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t>е пояснює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ться</w:t>
      </w: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лише масштабом змагань та індивідуальними особливостями сп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ортсменів»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[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]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 Надалі дослідники зазначають, що у спортсменів</w:t>
      </w: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t>, які слабше підготовлені, ніж їх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ні</w:t>
      </w: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противники, латентний періо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 рухових реакцій перед змаганнями</w:t>
      </w: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погіршується, а ЧСС </w:t>
      </w: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збільшується. На підставі цього автор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 вважають</w:t>
      </w: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«…</w:t>
      </w: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t>що величина латентного періоду рухових реакцій і характер зміни цієї величини можуть бути одним із показників готовності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[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5, 8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]</w:t>
      </w:r>
      <w:r w:rsidRPr="008E2A4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D5D99" w:rsidRPr="00ED2D21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2D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Використовуючи нашу пропозицію про </w:t>
      </w:r>
      <w:proofErr w:type="spellStart"/>
      <w:r w:rsidRPr="00ED2D21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однос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прямованість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зміни показників ап</w:t>
      </w:r>
      <w:r w:rsidRPr="00ED2D21">
        <w:rPr>
          <w:rFonts w:ascii="Times New Roman" w:eastAsiaTheme="minorHAnsi" w:hAnsi="Times New Roman" w:cs="Times New Roman"/>
          <w:sz w:val="28"/>
          <w:szCs w:val="28"/>
          <w:lang w:eastAsia="en-US"/>
        </w:rPr>
        <w:t>робованих тестів при формуванні стану готовності у спортсменів, можна передбачити та прогнозувати успішність виступу на змаганнях.</w:t>
      </w:r>
    </w:p>
    <w:p w:rsidR="00ED5D99" w:rsidRPr="00ED2D21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D2D21">
        <w:rPr>
          <w:rFonts w:ascii="Times New Roman" w:eastAsiaTheme="minorHAnsi" w:hAnsi="Times New Roman" w:cs="Times New Roman"/>
          <w:sz w:val="28"/>
          <w:szCs w:val="28"/>
          <w:lang w:eastAsia="en-US"/>
        </w:rPr>
        <w:t>Найбільш достовірно прогнозування здійснюватиметься індивідуально, при знанні особливостей реакцій у відповідь спортсмена на майбутнє змагання і в залежності від значимості цих змагань.</w:t>
      </w:r>
    </w:p>
    <w:p w:rsidR="00ED5D99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Оцінити педагогічний процес спо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ртивного тренування на етапі підготовки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можна лише на змаганнях, за наявності успішного або неуспішного виступу.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Багато авторів пропонують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важати успішним лише ті виступи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, де встановлюється особистий рекорд або показуєть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ся близький до нього результат»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[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]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D5D99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Так, деякі фахівці вважають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що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«…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критерієм наявності стану готовності є результат у змаганнях не хуку 2-х відсотків від найкращого свого результату сезону. Таке твердження викликає сумнів, оскільки виходить, що на кожних змаганнях необхідно показувати особисті рекорди незалежно від стратегіч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них завдань змагального періоду»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[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1, 5, 10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]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ED5D99" w:rsidRPr="00BE3B3D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З таким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ідходом незгодні інші дослідники: «…о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сновним критерієм ефективності управління є ступінь досягнення мети. Слід зазначити, що спортивний результат у даному випадку не є основним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оказником досягнення мети» [6, 7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].</w:t>
      </w:r>
    </w:p>
    <w:p w:rsidR="00ED5D99" w:rsidRPr="00BE3B3D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Фахівці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вважають 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одним із основних показників надійності змагально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ї діяльності спортсмена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«…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коефіцієнт стійкості, що розраховується через суб'єктивні оцінки експертів. У цьому експерти враховують успішність виступу, співвіднесену з рівнем його підготовленості і результативності останніх тренуваннях, тобто. оцінюється не абсолютний виступ, а щодо його поточного стану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[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]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ED5D99" w:rsidRPr="00BE3B3D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Є дослідження, де успішність виступу оцінювалася суб'єктивно експертами і співвідно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силася з показниками тестів [2, 6, 7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].</w:t>
      </w:r>
    </w:p>
    <w:p w:rsidR="00ED5D99" w:rsidRDefault="00ED5D99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Аналізуючи дані робо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ти, можна припустити, що успіш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ність виступу на змаганні можна оцінити, співвідносячи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показуваний результат з наміче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ними раніше результатами тренером і спортсме</w:t>
      </w:r>
      <w:r w:rsidRPr="00BE3B3D">
        <w:rPr>
          <w:rFonts w:ascii="Times New Roman" w:eastAsiaTheme="minorHAnsi" w:hAnsi="Times New Roman" w:cs="Times New Roman"/>
          <w:sz w:val="28"/>
          <w:szCs w:val="28"/>
          <w:lang w:eastAsia="en-US"/>
        </w:rPr>
        <w:t>ном, а також за суб'єктивними оцінками задоволеності виступу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764BD" w:rsidRDefault="004764BD" w:rsidP="004764BD">
      <w:pPr>
        <w:widowControl/>
        <w:autoSpaceDE/>
        <w:adjustRightInd/>
        <w:spacing w:line="36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ЛІТЕРАТУРА</w:t>
      </w:r>
    </w:p>
    <w:p w:rsidR="004764BD" w:rsidRDefault="004764BD" w:rsidP="004764BD">
      <w:pPr>
        <w:widowControl/>
        <w:numPr>
          <w:ilvl w:val="0"/>
          <w:numId w:val="2"/>
        </w:numPr>
        <w:autoSpaceDE/>
        <w:adjustRightInd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Маляр Е.І., Маляр Н.С.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Основи спортивної підготовки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Навчальний посібник / Тернопіль, ТНЕУ: Економічна думка, 2018. 96 с.</w:t>
      </w:r>
    </w:p>
    <w:p w:rsidR="004764BD" w:rsidRDefault="004764BD" w:rsidP="004764BD">
      <w:pPr>
        <w:widowControl/>
        <w:numPr>
          <w:ilvl w:val="0"/>
          <w:numId w:val="2"/>
        </w:numPr>
        <w:autoSpaceDE/>
        <w:adjustRightInd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Маляр Е.І., Маляр Н.С.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Методика розвитку рухових якостей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: Методичні рекомендації / Тернопіль, ТНЕУ: Економічна думка, 2018. 96 с.</w:t>
      </w:r>
    </w:p>
    <w:p w:rsidR="004764BD" w:rsidRDefault="004764BD" w:rsidP="004764BD">
      <w:pPr>
        <w:widowControl/>
        <w:numPr>
          <w:ilvl w:val="0"/>
          <w:numId w:val="2"/>
        </w:numPr>
        <w:autoSpaceDE/>
        <w:adjustRightInd/>
        <w:spacing w:after="16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Загальна теорія підготовки спортсменів: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Методичні рекомендації / Тернопіль, ТНЕУ: Економічна думка, 2019. 96 с.</w:t>
      </w:r>
    </w:p>
    <w:p w:rsidR="004764BD" w:rsidRDefault="004764BD" w:rsidP="004764BD">
      <w:pPr>
        <w:widowControl/>
        <w:numPr>
          <w:ilvl w:val="0"/>
          <w:numId w:val="2"/>
        </w:numPr>
        <w:autoSpaceDE/>
        <w:adjustRightInd/>
        <w:spacing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Маляр Е.І., Маляр Н.С. Управління тренувальною і змагальною діяльністю спортсменів : Методичні рекомендації / Тернопіль, ЗУНУ: Економічна думка, 2024. 26 с.</w:t>
      </w:r>
    </w:p>
    <w:p w:rsidR="004764BD" w:rsidRDefault="004764BD" w:rsidP="004764B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Маляр Е.І., Маляр Н.С.,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Безпалова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Н.М. Вплив індивідуального стилю на професійну діяльність тренера / Науковий часопис: Національного педагогічного університету імені М.П. Драгоманова. Серія № 15. Науково-педагогічні проблеми фізичної культури (фізична культура і спорт):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наукових праць/ / за ред. О.В. Тимошенка. К.: Видавництво НПУ імені М.П. Драгоманова, 2024. Випуск 1 (173) 24. С. 86-89.</w:t>
      </w:r>
      <w:hyperlink r:id="rId5" w:history="1">
        <w:r>
          <w:rPr>
            <w:rStyle w:val="a4"/>
            <w:rFonts w:ascii="Times New Roman" w:eastAsia="Calibri" w:hAnsi="Times New Roman" w:cs="Times New Roman"/>
            <w:color w:val="009DE5"/>
            <w:sz w:val="28"/>
            <w:szCs w:val="28"/>
            <w:shd w:val="clear" w:color="auto" w:fill="FFFFFF"/>
          </w:rPr>
          <w:t>https://doi.org/10.31392/UDU-nc.series15.2024.1(173)</w:t>
        </w:r>
      </w:hyperlink>
    </w:p>
    <w:p w:rsidR="004764BD" w:rsidRDefault="004764BD" w:rsidP="004764B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Маляр Е.І., Маляр Н.С. Управління тренувальною і змагальною діяльністю спортсменів : Методичні рекомендації / Тернопіль, ЗУНУ: Економічна думка, 2024. 26 с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4764BD" w:rsidRDefault="004764BD" w:rsidP="004764BD">
      <w:pPr>
        <w:widowControl/>
        <w:numPr>
          <w:ilvl w:val="0"/>
          <w:numId w:val="2"/>
        </w:numPr>
        <w:autoSpaceDE/>
        <w:adjustRightInd/>
        <w:spacing w:line="360" w:lineRule="auto"/>
        <w:ind w:left="357" w:hanging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Маляр Е.І., Маляр Н.С., Огнистий А.В., Огниста К.М.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Моделювання та прогнозування у системі підготовки спортсменів</w:t>
      </w:r>
      <w:r>
        <w:rPr>
          <w:rFonts w:ascii="Times New Roman" w:eastAsiaTheme="minorHAnsi" w:hAnsi="Times New Roman" w:cs="Times New Roman"/>
          <w:noProof/>
          <w:sz w:val="28"/>
          <w:szCs w:val="28"/>
          <w:lang w:eastAsia="en-US"/>
        </w:rPr>
        <w:t>: методичні рекомендації / Тернопіль, ТНЕУ, 2019. 48 с.</w:t>
      </w:r>
    </w:p>
    <w:p w:rsidR="004764BD" w:rsidRDefault="004764BD" w:rsidP="004764BD">
      <w:pPr>
        <w:widowControl/>
        <w:numPr>
          <w:ilvl w:val="0"/>
          <w:numId w:val="2"/>
        </w:numPr>
        <w:autoSpaceDE/>
        <w:adjustRightInd/>
        <w:spacing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 В.М. Сучасна система спортивного тренування: підручник / К. Перша друкарня, 2021. 672 с.</w:t>
      </w:r>
    </w:p>
    <w:p w:rsidR="004764BD" w:rsidRDefault="004764BD" w:rsidP="004764BD">
      <w:pPr>
        <w:widowControl/>
        <w:numPr>
          <w:ilvl w:val="0"/>
          <w:numId w:val="2"/>
        </w:numPr>
        <w:autoSpaceDE/>
        <w:adjustRightInd/>
        <w:spacing w:line="360" w:lineRule="auto"/>
        <w:ind w:left="357" w:hanging="35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Khatsaiuk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Medvid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Maksymchuk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B.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Kurok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Dziuba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P.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E.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/ </w:t>
      </w:r>
      <w:hyperlink r:id="rId6" w:history="1"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>Preparing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>Future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>Officers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>for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>Performing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>Assiqned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>Tasks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>through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lastRenderedPageBreak/>
          <w:t>Special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>Physical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en-US"/>
          </w:rPr>
          <w:t>Training</w:t>
        </w:r>
        <w:proofErr w:type="spellEnd"/>
      </w:hyperlink>
      <w:r>
        <w:rPr>
          <w:rFonts w:ascii="Times New Roman" w:eastAsiaTheme="minorHAnsi" w:hAnsi="Times New Roman" w:cs="Times New Roman"/>
          <w:bCs/>
          <w:sz w:val="28"/>
          <w:szCs w:val="28"/>
          <w:lang w:val="en-US" w:eastAsia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(2021)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(2),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457-475.</w:t>
      </w:r>
    </w:p>
    <w:p w:rsidR="004764BD" w:rsidRDefault="004764BD" w:rsidP="004764BD">
      <w:pPr>
        <w:widowControl/>
        <w:numPr>
          <w:ilvl w:val="0"/>
          <w:numId w:val="2"/>
        </w:numPr>
        <w:autoSpaceDE/>
        <w:adjustRightInd/>
        <w:spacing w:after="160" w:line="36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Doroshenko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Havryliuk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Medynskii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Soichuk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Petrenk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Pavelkiv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Rybalko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Chornodon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Boretskyi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Developing the Competency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FuturePhysical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 Specialists in Professional Interaction in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Fieldof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Social Communications.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12 (4), 289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-309.</w:t>
      </w:r>
    </w:p>
    <w:p w:rsidR="004764BD" w:rsidRDefault="004764BD" w:rsidP="00ED5D99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E81550" w:rsidRDefault="00E81550" w:rsidP="00AA3AC0">
      <w:pPr>
        <w:spacing w:line="36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sectPr w:rsidR="00E815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B628A46E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F1"/>
    <w:rsid w:val="00015F3C"/>
    <w:rsid w:val="00142CA9"/>
    <w:rsid w:val="004764BD"/>
    <w:rsid w:val="005427F9"/>
    <w:rsid w:val="0059671E"/>
    <w:rsid w:val="006104EE"/>
    <w:rsid w:val="008C38CB"/>
    <w:rsid w:val="008E2A44"/>
    <w:rsid w:val="00903E72"/>
    <w:rsid w:val="00954CFF"/>
    <w:rsid w:val="009C2DC9"/>
    <w:rsid w:val="00AA3AC0"/>
    <w:rsid w:val="00BA2104"/>
    <w:rsid w:val="00BE3B3D"/>
    <w:rsid w:val="00CF3776"/>
    <w:rsid w:val="00D275F1"/>
    <w:rsid w:val="00E81550"/>
    <w:rsid w:val="00E827BC"/>
    <w:rsid w:val="00ED2D21"/>
    <w:rsid w:val="00ED5D99"/>
    <w:rsid w:val="00FB27B9"/>
    <w:rsid w:val="00FB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97D5"/>
  <w15:chartTrackingRefBased/>
  <w15:docId w15:val="{ACE8075D-D476-4549-B0D2-98036959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B9"/>
    <w:pPr>
      <w:ind w:left="720"/>
      <w:contextualSpacing/>
    </w:pPr>
    <w:rPr>
      <w:rFonts w:ascii="Arial" w:hAnsi="Arial" w:cs="Arial"/>
    </w:rPr>
  </w:style>
  <w:style w:type="character" w:styleId="a4">
    <w:name w:val="Hyperlink"/>
    <w:basedOn w:val="a0"/>
    <w:uiPriority w:val="99"/>
    <w:semiHidden/>
    <w:unhideWhenUsed/>
    <w:rsid w:val="00FB27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uk&amp;user=SN9b5dYAAAAJ&amp;citation_for_view=SN9b5dYAAAAJ:tKAzc9rXhukC" TargetMode="External"/><Relationship Id="rId5" Type="http://schemas.openxmlformats.org/officeDocument/2006/relationships/hyperlink" Target="https://doi.org/10.31392/UDU-nc.series15.2024.1(173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3964</Words>
  <Characters>2261</Characters>
  <Application>Microsoft Office Word</Application>
  <DocSecurity>0</DocSecurity>
  <Lines>18</Lines>
  <Paragraphs>12</Paragraphs>
  <ScaleCrop>false</ScaleCrop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25</cp:revision>
  <dcterms:created xsi:type="dcterms:W3CDTF">2025-04-28T08:57:00Z</dcterms:created>
  <dcterms:modified xsi:type="dcterms:W3CDTF">2025-09-10T09:34:00Z</dcterms:modified>
</cp:coreProperties>
</file>