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EE45A" w14:textId="7BF8C9D6" w:rsidR="00AC437D" w:rsidRPr="00231C02" w:rsidRDefault="00126679" w:rsidP="00231C02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Шевчук Олександр</w:t>
      </w:r>
      <w:r w:rsidR="008E7D08">
        <w:rPr>
          <w:rFonts w:ascii="Times New Roman" w:hAnsi="Times New Roman" w:cs="Times New Roman"/>
          <w:b/>
          <w:sz w:val="28"/>
          <w:szCs w:val="28"/>
        </w:rPr>
        <w:t xml:space="preserve"> Ярославович</w:t>
      </w:r>
      <w:r w:rsidR="00231C02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AC437D">
        <w:rPr>
          <w:rFonts w:ascii="Times New Roman" w:hAnsi="Times New Roman" w:cs="Times New Roman"/>
          <w:sz w:val="28"/>
          <w:szCs w:val="28"/>
        </w:rPr>
        <w:t>здобувач другого (магістерського)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14:paraId="40D2CC11" w14:textId="3723DA66" w:rsidR="00AC437D" w:rsidRPr="00231C02" w:rsidRDefault="00AC437D" w:rsidP="00231C0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 w:rsidR="00DC25EC">
        <w:rPr>
          <w:rFonts w:ascii="Times New Roman" w:hAnsi="Times New Roman" w:cs="Times New Roman"/>
          <w:b/>
          <w:sz w:val="28"/>
          <w:szCs w:val="28"/>
        </w:rPr>
        <w:t xml:space="preserve">Маляр Едуард </w:t>
      </w:r>
      <w:proofErr w:type="spellStart"/>
      <w:r w:rsidR="00DC25EC">
        <w:rPr>
          <w:rFonts w:ascii="Times New Roman" w:hAnsi="Times New Roman" w:cs="Times New Roman"/>
          <w:b/>
          <w:sz w:val="28"/>
          <w:szCs w:val="28"/>
        </w:rPr>
        <w:t>Імрейович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C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кафедри фізичної реабілітації і спорту.</w:t>
      </w:r>
    </w:p>
    <w:p w14:paraId="396477E0" w14:textId="77777777" w:rsidR="00DC25EC" w:rsidRDefault="00DC25EC" w:rsidP="003E5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62205" w14:textId="773B4F77" w:rsidR="00F537A9" w:rsidRDefault="003E5ADB" w:rsidP="00E269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ADB">
        <w:rPr>
          <w:rFonts w:ascii="Times New Roman" w:hAnsi="Times New Roman" w:cs="Times New Roman"/>
          <w:b/>
          <w:sz w:val="28"/>
          <w:szCs w:val="28"/>
        </w:rPr>
        <w:t>ОСОБЛИВОСТІ ВИКОРИСТАННЯ ТЕХНІКО-ТАКТИЧНИХ ДІЙ У СПОРТИВНІЙ БОРОТЬБІ</w:t>
      </w:r>
    </w:p>
    <w:p w14:paraId="70A6AE30" w14:textId="77777777" w:rsidR="003E5ADB" w:rsidRPr="003E5ADB" w:rsidRDefault="003E5ADB" w:rsidP="00E269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57A58" w14:textId="7F666226" w:rsidR="00F537A9" w:rsidRDefault="00F537A9" w:rsidP="00F537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Сучасна спортивна боротьба можлива лише за умови цілеспрямованих дій обох суперників. В умовах, коли техніка і тактика спортивної боротьби були відомі лише невеликій кількості фахівців професійної боротьби і коли аматорська боротьба тільки з'являлася, така загальна вказівка ​​фахівців про необхідність обдуманого підходу до процесу боротьби мали велике значення</w:t>
      </w:r>
      <w:r w:rsidR="006F00BA">
        <w:rPr>
          <w:rFonts w:ascii="Times New Roman" w:hAnsi="Times New Roman" w:cs="Times New Roman"/>
          <w:sz w:val="28"/>
          <w:szCs w:val="28"/>
        </w:rPr>
        <w:t xml:space="preserve"> 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F00BA">
        <w:rPr>
          <w:rFonts w:ascii="Times New Roman" w:hAnsi="Times New Roman" w:cs="Times New Roman"/>
          <w:sz w:val="28"/>
          <w:szCs w:val="28"/>
        </w:rPr>
        <w:t>1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Автори вважають, що </w:t>
      </w:r>
      <w:r w:rsidR="006F00BA"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sz w:val="28"/>
          <w:szCs w:val="28"/>
        </w:rPr>
        <w:t>однією з умов для найкращого процесу боротьби є думка</w:t>
      </w:r>
      <w:r w:rsidR="006F00BA">
        <w:rPr>
          <w:rFonts w:ascii="Times New Roman" w:hAnsi="Times New Roman" w:cs="Times New Roman"/>
          <w:sz w:val="28"/>
          <w:szCs w:val="28"/>
        </w:rPr>
        <w:t xml:space="preserve">» 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F00BA">
        <w:rPr>
          <w:rFonts w:ascii="Times New Roman" w:hAnsi="Times New Roman" w:cs="Times New Roman"/>
          <w:sz w:val="28"/>
          <w:szCs w:val="28"/>
        </w:rPr>
        <w:t>2, 8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93732F" w14:textId="570CE7C9" w:rsidR="00F537A9" w:rsidRDefault="00F537A9" w:rsidP="00F537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дослідників торкнулися багатьох питань, що складають сенс боротьби. Зокрема, вони надають</w:t>
      </w:r>
      <w:r w:rsidR="001F166B">
        <w:rPr>
          <w:rFonts w:ascii="Times New Roman" w:hAnsi="Times New Roman" w:cs="Times New Roman"/>
          <w:sz w:val="28"/>
          <w:szCs w:val="28"/>
        </w:rPr>
        <w:t xml:space="preserve"> великого значення обманним</w:t>
      </w:r>
      <w:r>
        <w:rPr>
          <w:rFonts w:ascii="Times New Roman" w:hAnsi="Times New Roman" w:cs="Times New Roman"/>
          <w:sz w:val="28"/>
          <w:szCs w:val="28"/>
        </w:rPr>
        <w:t xml:space="preserve"> діям, що говорить про те, що спортивна боротьба того часу була дуже близька до сучасної боротьб</w:t>
      </w:r>
      <w:r w:rsidR="001F166B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Але тут йдеться не лише про окремі прийоми. Очевидно, автор має на увазі і комбінації прийомів.</w:t>
      </w:r>
    </w:p>
    <w:p w14:paraId="7EB6BD85" w14:textId="49DEBABB" w:rsidR="00F537A9" w:rsidRPr="001F166B" w:rsidRDefault="001F166B" w:rsidP="001F1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дослідники описують складну техніко-тактичну</w:t>
      </w:r>
      <w:r w:rsidR="00F537A9">
        <w:rPr>
          <w:rFonts w:ascii="Times New Roman" w:hAnsi="Times New Roman" w:cs="Times New Roman"/>
          <w:sz w:val="28"/>
          <w:szCs w:val="28"/>
        </w:rPr>
        <w:t xml:space="preserve"> дію, яка сьо</w:t>
      </w:r>
      <w:r>
        <w:rPr>
          <w:rFonts w:ascii="Times New Roman" w:hAnsi="Times New Roman" w:cs="Times New Roman"/>
          <w:sz w:val="28"/>
          <w:szCs w:val="28"/>
        </w:rPr>
        <w:t>годні називається викликом. «Можна</w:t>
      </w:r>
      <w:r w:rsidR="00F537A9">
        <w:rPr>
          <w:rFonts w:ascii="Times New Roman" w:hAnsi="Times New Roman" w:cs="Times New Roman"/>
          <w:sz w:val="28"/>
          <w:szCs w:val="28"/>
        </w:rPr>
        <w:t xml:space="preserve"> демонструвати, дещо втискаючись всім корпусом і розкриваючи руки, що може ввести противника в спокусу захопити на прямий пояс. Розраховуючи заздалегідь на можливість цієї атаки, слід швидко повернутися до атакуючого боком у той момент, коли він зробить</w:t>
      </w:r>
      <w:r>
        <w:rPr>
          <w:rFonts w:ascii="Times New Roman" w:hAnsi="Times New Roman" w:cs="Times New Roman"/>
          <w:sz w:val="28"/>
          <w:szCs w:val="28"/>
        </w:rPr>
        <w:t xml:space="preserve"> рух вперед з метою захоплення, </w:t>
      </w:r>
      <w:r w:rsidR="00F537A9">
        <w:rPr>
          <w:rFonts w:ascii="Times New Roman" w:hAnsi="Times New Roman" w:cs="Times New Roman"/>
          <w:sz w:val="28"/>
          <w:szCs w:val="28"/>
        </w:rPr>
        <w:t xml:space="preserve">зробити кидок </w:t>
      </w:r>
      <w:proofErr w:type="spellStart"/>
      <w:r w:rsidR="00F537A9">
        <w:rPr>
          <w:rFonts w:ascii="Times New Roman" w:hAnsi="Times New Roman" w:cs="Times New Roman"/>
          <w:sz w:val="28"/>
          <w:szCs w:val="28"/>
        </w:rPr>
        <w:t>підворо</w:t>
      </w:r>
      <w:r>
        <w:rPr>
          <w:rFonts w:ascii="Times New Roman" w:hAnsi="Times New Roman" w:cs="Times New Roman"/>
          <w:sz w:val="28"/>
          <w:szCs w:val="28"/>
        </w:rPr>
        <w:t>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із захопленням руки та шиї»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F00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972DEA" w14:textId="48C3E082" w:rsidR="00F537A9" w:rsidRDefault="00F537A9" w:rsidP="001F1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слід припустити, що повторність дій атакуючого вже тоді розглядалася як елемент для </w:t>
      </w:r>
      <w:r w:rsidR="001F166B">
        <w:rPr>
          <w:rFonts w:ascii="Times New Roman" w:hAnsi="Times New Roman" w:cs="Times New Roman"/>
          <w:sz w:val="28"/>
          <w:szCs w:val="28"/>
        </w:rPr>
        <w:t>побудови таких техніко-тактичних</w:t>
      </w:r>
      <w:r>
        <w:rPr>
          <w:rFonts w:ascii="Times New Roman" w:hAnsi="Times New Roman" w:cs="Times New Roman"/>
          <w:sz w:val="28"/>
          <w:szCs w:val="28"/>
        </w:rPr>
        <w:t xml:space="preserve"> прийомів, які важко відобразити. Все це показує, що ще на зорі </w:t>
      </w:r>
      <w:r w:rsidR="006F00BA"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sz w:val="28"/>
          <w:szCs w:val="28"/>
        </w:rPr>
        <w:t>сучасної ама</w:t>
      </w:r>
      <w:r w:rsidR="001F166B">
        <w:rPr>
          <w:rFonts w:ascii="Times New Roman" w:hAnsi="Times New Roman" w:cs="Times New Roman"/>
          <w:sz w:val="28"/>
          <w:szCs w:val="28"/>
        </w:rPr>
        <w:t>торської боротьби в числі засобів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166B">
        <w:rPr>
          <w:rFonts w:ascii="Times New Roman" w:hAnsi="Times New Roman" w:cs="Times New Roman"/>
          <w:sz w:val="28"/>
          <w:szCs w:val="28"/>
        </w:rPr>
        <w:t xml:space="preserve"> які</w:t>
      </w:r>
      <w:r>
        <w:rPr>
          <w:rFonts w:ascii="Times New Roman" w:hAnsi="Times New Roman" w:cs="Times New Roman"/>
          <w:sz w:val="28"/>
          <w:szCs w:val="28"/>
        </w:rPr>
        <w:t xml:space="preserve"> підвищують ефективність технічних процесів, </w:t>
      </w:r>
      <w:r>
        <w:rPr>
          <w:rFonts w:ascii="Times New Roman" w:hAnsi="Times New Roman" w:cs="Times New Roman"/>
          <w:sz w:val="28"/>
          <w:szCs w:val="28"/>
        </w:rPr>
        <w:lastRenderedPageBreak/>
        <w:t>застосовувалися різні тактичні прийоми, які готують необхідні умови</w:t>
      </w:r>
      <w:r w:rsidR="006F00BA">
        <w:rPr>
          <w:rFonts w:ascii="Times New Roman" w:hAnsi="Times New Roman" w:cs="Times New Roman"/>
          <w:sz w:val="28"/>
          <w:szCs w:val="28"/>
        </w:rPr>
        <w:t xml:space="preserve">» 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F00BA">
        <w:rPr>
          <w:rFonts w:ascii="Times New Roman" w:hAnsi="Times New Roman" w:cs="Times New Roman"/>
          <w:sz w:val="28"/>
          <w:szCs w:val="28"/>
        </w:rPr>
        <w:t>1, 3, 5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B8DA84" w14:textId="6BD8468C" w:rsidR="001F166B" w:rsidRDefault="001F166B" w:rsidP="001F1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Найчастіше борцями, як тактичного засобу для входу в улюблене положення, застосовується «виведення з рівноваги», «хибна атака». Для їх тактичного арсеналу характерними також є: «силовий тиск» та «повторна атака»</w:t>
      </w:r>
      <w:r w:rsidR="006F00BA">
        <w:rPr>
          <w:rFonts w:ascii="Times New Roman" w:hAnsi="Times New Roman" w:cs="Times New Roman"/>
          <w:sz w:val="28"/>
          <w:szCs w:val="28"/>
        </w:rPr>
        <w:t xml:space="preserve"> 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F00BA">
        <w:rPr>
          <w:rFonts w:ascii="Times New Roman" w:hAnsi="Times New Roman" w:cs="Times New Roman"/>
          <w:sz w:val="28"/>
          <w:szCs w:val="28"/>
        </w:rPr>
        <w:t>6, 7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334647" w14:textId="20038A0A" w:rsidR="001F166B" w:rsidRDefault="001F166B" w:rsidP="001F1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факторів, найбільш сприятливих для досягнення та збереження певного положення в процесі поєдинку, борці з основною технічною дією «кидок скручуванням» відносять такі як: «постійне прагнення до атаки"» що в свою чергу характеризується активністю ведення сутички</w:t>
      </w:r>
      <w:r w:rsidR="006F00BA">
        <w:rPr>
          <w:rFonts w:ascii="Times New Roman" w:hAnsi="Times New Roman" w:cs="Times New Roman"/>
          <w:sz w:val="28"/>
          <w:szCs w:val="28"/>
        </w:rPr>
        <w:t xml:space="preserve"> 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F00BA">
        <w:rPr>
          <w:rFonts w:ascii="Times New Roman" w:hAnsi="Times New Roman" w:cs="Times New Roman"/>
          <w:sz w:val="28"/>
          <w:szCs w:val="28"/>
        </w:rPr>
        <w:t>2, 5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C93D2E" w14:textId="6317641D" w:rsidR="00F537A9" w:rsidRDefault="001F166B" w:rsidP="001F1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Спортивна боротьба вражає </w:t>
      </w:r>
      <w:r w:rsidR="00F537A9">
        <w:rPr>
          <w:rFonts w:ascii="Times New Roman" w:hAnsi="Times New Roman" w:cs="Times New Roman"/>
          <w:sz w:val="28"/>
          <w:szCs w:val="28"/>
        </w:rPr>
        <w:t>охопленням різних характеристик, складових процес</w:t>
      </w:r>
      <w:r>
        <w:rPr>
          <w:rFonts w:ascii="Times New Roman" w:hAnsi="Times New Roman" w:cs="Times New Roman"/>
          <w:sz w:val="28"/>
          <w:szCs w:val="28"/>
        </w:rPr>
        <w:t>у єдиноборства, серед яких фахівці ставлять</w:t>
      </w:r>
      <w:r w:rsidR="000B5686">
        <w:rPr>
          <w:rFonts w:ascii="Times New Roman" w:hAnsi="Times New Roman" w:cs="Times New Roman"/>
          <w:sz w:val="28"/>
          <w:szCs w:val="28"/>
        </w:rPr>
        <w:t xml:space="preserve"> техніко-тактичні</w:t>
      </w:r>
      <w:r w:rsidR="00F537A9">
        <w:rPr>
          <w:rFonts w:ascii="Times New Roman" w:hAnsi="Times New Roman" w:cs="Times New Roman"/>
          <w:sz w:val="28"/>
          <w:szCs w:val="28"/>
        </w:rPr>
        <w:t xml:space="preserve"> завдання</w:t>
      </w:r>
      <w:r>
        <w:rPr>
          <w:rFonts w:ascii="Times New Roman" w:hAnsi="Times New Roman" w:cs="Times New Roman"/>
          <w:sz w:val="28"/>
          <w:szCs w:val="28"/>
        </w:rPr>
        <w:t xml:space="preserve"> на перший план</w:t>
      </w:r>
      <w:r w:rsidR="000B5686">
        <w:rPr>
          <w:rFonts w:ascii="Times New Roman" w:hAnsi="Times New Roman" w:cs="Times New Roman"/>
          <w:sz w:val="28"/>
          <w:szCs w:val="28"/>
        </w:rPr>
        <w:t>.</w:t>
      </w:r>
      <w:r w:rsidR="00F537A9">
        <w:rPr>
          <w:rFonts w:ascii="Times New Roman" w:hAnsi="Times New Roman" w:cs="Times New Roman"/>
          <w:sz w:val="28"/>
          <w:szCs w:val="28"/>
        </w:rPr>
        <w:t xml:space="preserve"> </w:t>
      </w:r>
      <w:r w:rsidR="000B5686">
        <w:rPr>
          <w:rFonts w:ascii="Times New Roman" w:hAnsi="Times New Roman" w:cs="Times New Roman"/>
          <w:sz w:val="28"/>
          <w:szCs w:val="28"/>
        </w:rPr>
        <w:t>Ці завдання, насамперед,</w:t>
      </w:r>
      <w:r w:rsidR="00F537A9">
        <w:rPr>
          <w:rFonts w:ascii="Times New Roman" w:hAnsi="Times New Roman" w:cs="Times New Roman"/>
          <w:sz w:val="28"/>
          <w:szCs w:val="28"/>
        </w:rPr>
        <w:t xml:space="preserve"> пов'язані з швидкістю реакції, можливістю передбачати </w:t>
      </w:r>
      <w:r w:rsidR="000B5686">
        <w:rPr>
          <w:rFonts w:ascii="Times New Roman" w:hAnsi="Times New Roman" w:cs="Times New Roman"/>
          <w:sz w:val="28"/>
          <w:szCs w:val="28"/>
        </w:rPr>
        <w:t xml:space="preserve">борцем </w:t>
      </w:r>
      <w:r w:rsidR="00F537A9">
        <w:rPr>
          <w:rFonts w:ascii="Times New Roman" w:hAnsi="Times New Roman" w:cs="Times New Roman"/>
          <w:sz w:val="28"/>
          <w:szCs w:val="28"/>
        </w:rPr>
        <w:t>хід сутички</w:t>
      </w:r>
      <w:r w:rsidR="006F00BA">
        <w:rPr>
          <w:rFonts w:ascii="Times New Roman" w:hAnsi="Times New Roman" w:cs="Times New Roman"/>
          <w:sz w:val="28"/>
          <w:szCs w:val="28"/>
        </w:rPr>
        <w:t xml:space="preserve"> 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F00BA">
        <w:rPr>
          <w:rFonts w:ascii="Times New Roman" w:hAnsi="Times New Roman" w:cs="Times New Roman"/>
          <w:sz w:val="28"/>
          <w:szCs w:val="28"/>
        </w:rPr>
        <w:t>3, 4, 8, 9</w:t>
      </w:r>
      <w:r w:rsidR="006F00BA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F537A9">
        <w:rPr>
          <w:rFonts w:ascii="Times New Roman" w:hAnsi="Times New Roman" w:cs="Times New Roman"/>
          <w:sz w:val="28"/>
          <w:szCs w:val="28"/>
        </w:rPr>
        <w:t>.</w:t>
      </w:r>
    </w:p>
    <w:p w14:paraId="7726AC0C" w14:textId="3156D000" w:rsidR="00615DD1" w:rsidRDefault="00615DD1" w:rsidP="00615DD1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</w:p>
    <w:p w14:paraId="6A766C89" w14:textId="06CDFBFC" w:rsidR="003A5C2B" w:rsidRPr="003A5C2B" w:rsidRDefault="003A5C2B" w:rsidP="00615DD1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References</w:t>
      </w:r>
      <w:bookmarkStart w:id="0" w:name="_GoBack"/>
      <w:bookmarkEnd w:id="0"/>
    </w:p>
    <w:p w14:paraId="217EE5A6" w14:textId="09E0ADB7" w:rsidR="00DA461D" w:rsidRPr="00DA461D" w:rsidRDefault="00DA461D" w:rsidP="00DA461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1D">
        <w:rPr>
          <w:rFonts w:ascii="Times New Roman" w:hAnsi="Times New Roman" w:cs="Times New Roman"/>
          <w:sz w:val="28"/>
          <w:szCs w:val="28"/>
        </w:rPr>
        <w:t xml:space="preserve">1. Мазур В.Й., Гуска М.Б. Спортивна боротьба. Методичні рекомендації до виконання практичних і самостійних занять з дисципліни “Спортивна боротьба з методикою викладання” (для студентів факультету фізичної культури).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Камʼянець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>-Подільський: Аксіома, 2015. 148 с.</w:t>
      </w:r>
    </w:p>
    <w:p w14:paraId="70827DD3" w14:textId="1328102C" w:rsidR="009A2101" w:rsidRPr="00DA461D" w:rsidRDefault="00DA461D" w:rsidP="00DA461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1D">
        <w:rPr>
          <w:rFonts w:ascii="Times New Roman" w:hAnsi="Times New Roman" w:cs="Times New Roman"/>
          <w:sz w:val="28"/>
          <w:szCs w:val="28"/>
        </w:rPr>
        <w:t>2</w:t>
      </w:r>
      <w:r w:rsidR="009A2101" w:rsidRPr="00DA461D">
        <w:rPr>
          <w:rFonts w:ascii="Times New Roman" w:hAnsi="Times New Roman" w:cs="Times New Roman"/>
          <w:sz w:val="28"/>
          <w:szCs w:val="28"/>
        </w:rPr>
        <w:t xml:space="preserve">. Маляр Е.І., Маляр Н.С., Огнистий А.В., Огниста К.М. Система засобів навчання варіативним техніко-тактичним діям юних борців вільного стилю / Науковий часопис: Національного педагогічного університету імені М.П. Драгоманова. Серія № 15. Науково-педагогічні проблеми фізичної культури (фізична культура і спорт): </w:t>
      </w:r>
      <w:proofErr w:type="spellStart"/>
      <w:r w:rsidR="009A2101" w:rsidRPr="00DA461D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="009A2101" w:rsidRPr="00DA461D">
        <w:rPr>
          <w:rFonts w:ascii="Times New Roman" w:hAnsi="Times New Roman" w:cs="Times New Roman"/>
          <w:sz w:val="28"/>
          <w:szCs w:val="28"/>
        </w:rPr>
        <w:t>. наукових праць / за ред. О.В. Тимошенка. К.: Видавництво НПУ імені М.П. Драгоманова, 2023. Випуск 1 (159) 23  С. 108-111.</w:t>
      </w:r>
    </w:p>
    <w:p w14:paraId="2AF29327" w14:textId="77777777" w:rsidR="00DA461D" w:rsidRPr="00DA461D" w:rsidRDefault="00DA461D" w:rsidP="00DA461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61D">
        <w:rPr>
          <w:rFonts w:ascii="Times New Roman" w:hAnsi="Times New Roman" w:cs="Times New Roman"/>
          <w:bCs/>
          <w:sz w:val="28"/>
          <w:szCs w:val="28"/>
        </w:rPr>
        <w:t>3</w:t>
      </w:r>
      <w:r w:rsidR="009D1553" w:rsidRPr="00DA461D">
        <w:rPr>
          <w:rFonts w:ascii="Times New Roman" w:hAnsi="Times New Roman" w:cs="Times New Roman"/>
          <w:bCs/>
          <w:sz w:val="28"/>
          <w:szCs w:val="28"/>
        </w:rPr>
        <w:t>. Маляр Е.І., Маляр Н.С. Методика розвитку рухових якостей юних спортсменів: Методичні рекомендації / Тернопіль, ЗУНУ: Економічна думка, 2018. 28 с.</w:t>
      </w:r>
    </w:p>
    <w:p w14:paraId="05529E1C" w14:textId="77777777" w:rsidR="00DA461D" w:rsidRPr="00DA461D" w:rsidRDefault="00DA461D" w:rsidP="00DA461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61D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9D1553" w:rsidRPr="00DA461D"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Н.С., Огнистий А.В., Огниста К.М. Основи спортивної підготовки: </w:t>
      </w:r>
      <w:proofErr w:type="spellStart"/>
      <w:r w:rsidR="009D1553" w:rsidRPr="00DA461D">
        <w:rPr>
          <w:rFonts w:ascii="Times New Roman" w:eastAsia="Calibri" w:hAnsi="Times New Roman" w:cs="Times New Roman"/>
          <w:bCs/>
          <w:sz w:val="28"/>
          <w:szCs w:val="28"/>
        </w:rPr>
        <w:t>Навч</w:t>
      </w:r>
      <w:proofErr w:type="spellEnd"/>
      <w:r w:rsidR="009D1553" w:rsidRPr="00DA461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9D1553" w:rsidRPr="00DA461D">
        <w:rPr>
          <w:rFonts w:ascii="Times New Roman" w:eastAsia="Calibri" w:hAnsi="Times New Roman" w:cs="Times New Roman"/>
          <w:bCs/>
          <w:sz w:val="28"/>
          <w:szCs w:val="28"/>
        </w:rPr>
        <w:t>посіб</w:t>
      </w:r>
      <w:proofErr w:type="spellEnd"/>
      <w:r w:rsidR="009D1553" w:rsidRPr="00DA461D">
        <w:rPr>
          <w:rFonts w:ascii="Times New Roman" w:eastAsia="Calibri" w:hAnsi="Times New Roman" w:cs="Times New Roman"/>
          <w:bCs/>
          <w:sz w:val="28"/>
          <w:szCs w:val="28"/>
        </w:rPr>
        <w:t xml:space="preserve">. / </w:t>
      </w:r>
      <w:r w:rsidR="009D1553" w:rsidRPr="00DA461D">
        <w:rPr>
          <w:rFonts w:ascii="Times New Roman" w:hAnsi="Times New Roman" w:cs="Times New Roman"/>
          <w:sz w:val="28"/>
          <w:szCs w:val="28"/>
        </w:rPr>
        <w:t>Тернопіль, ТНЕУ: Економічна думка, 2018. 96 с.</w:t>
      </w:r>
    </w:p>
    <w:p w14:paraId="480631EB" w14:textId="77777777" w:rsidR="00DA461D" w:rsidRPr="00DA461D" w:rsidRDefault="00DA461D" w:rsidP="00DA461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61D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9D1553" w:rsidRPr="00DA461D">
        <w:rPr>
          <w:rFonts w:ascii="Times New Roman" w:hAnsi="Times New Roman" w:cs="Times New Roman"/>
          <w:noProof/>
          <w:sz w:val="28"/>
          <w:szCs w:val="28"/>
        </w:rPr>
        <w:t xml:space="preserve">Маляр Е.І., Маляр Н.С. Загальна теорія підготовки спортсменів: методичні </w:t>
      </w:r>
      <w:r w:rsidR="009D1553" w:rsidRPr="00DA461D">
        <w:rPr>
          <w:rFonts w:ascii="Times New Roman" w:hAnsi="Times New Roman" w:cs="Times New Roman"/>
          <w:noProof/>
          <w:sz w:val="28"/>
          <w:szCs w:val="28"/>
        </w:rPr>
        <w:lastRenderedPageBreak/>
        <w:t>рекомендації / Тернопіль, ТНЕУ, 2019. 72 с.</w:t>
      </w:r>
    </w:p>
    <w:p w14:paraId="4E682C49" w14:textId="4A01B71B" w:rsidR="00DA461D" w:rsidRPr="00DA461D" w:rsidRDefault="00DA461D" w:rsidP="00DA461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61D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DA461D"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Н.С., Огнистий А.В., Огниста К.М. </w:t>
      </w:r>
      <w:r w:rsidRPr="00DA461D">
        <w:rPr>
          <w:rFonts w:ascii="Times New Roman" w:hAnsi="Times New Roman" w:cs="Times New Roman"/>
          <w:sz w:val="28"/>
          <w:szCs w:val="28"/>
        </w:rPr>
        <w:t>Моделювання та прогнозування у системі підготовки спортсменів</w:t>
      </w:r>
      <w:r w:rsidRPr="00DA461D">
        <w:rPr>
          <w:rFonts w:ascii="Times New Roman" w:hAnsi="Times New Roman" w:cs="Times New Roman"/>
          <w:noProof/>
          <w:sz w:val="28"/>
          <w:szCs w:val="28"/>
        </w:rPr>
        <w:t>: методичні рекомендації / Тернопіль, ТНЕУ, 2019. 48 с.</w:t>
      </w:r>
    </w:p>
    <w:p w14:paraId="417B2333" w14:textId="1C895B65" w:rsidR="00F537A9" w:rsidRPr="00DA461D" w:rsidRDefault="00DA461D" w:rsidP="00DA4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1D">
        <w:rPr>
          <w:rFonts w:ascii="Times New Roman" w:hAnsi="Times New Roman" w:cs="Times New Roman"/>
          <w:sz w:val="28"/>
          <w:szCs w:val="28"/>
        </w:rPr>
        <w:t>7</w:t>
      </w:r>
      <w:r w:rsidR="00A44CF0" w:rsidRPr="00DA461D">
        <w:rPr>
          <w:rFonts w:ascii="Times New Roman" w:hAnsi="Times New Roman" w:cs="Times New Roman"/>
          <w:sz w:val="28"/>
          <w:szCs w:val="28"/>
        </w:rPr>
        <w:t xml:space="preserve">. </w:t>
      </w:r>
      <w:r w:rsidR="00E63E3D" w:rsidRPr="00DA461D">
        <w:rPr>
          <w:rFonts w:ascii="Times New Roman" w:hAnsi="Times New Roman" w:cs="Times New Roman"/>
          <w:sz w:val="28"/>
          <w:szCs w:val="28"/>
        </w:rPr>
        <w:t xml:space="preserve">Спортивні єдиноборства (боротьба) з методикою викладання: методичні вказівки для студентів спеціальності 017 “Фізична культура і спорт" освітнього рівня бакалавр. Уклад.: С.В. </w:t>
      </w:r>
      <w:proofErr w:type="spellStart"/>
      <w:r w:rsidR="00E63E3D" w:rsidRPr="00DA461D">
        <w:rPr>
          <w:rFonts w:ascii="Times New Roman" w:hAnsi="Times New Roman" w:cs="Times New Roman"/>
          <w:sz w:val="28"/>
          <w:szCs w:val="28"/>
        </w:rPr>
        <w:t>Гребенніков</w:t>
      </w:r>
      <w:proofErr w:type="spellEnd"/>
      <w:r w:rsidR="00E63E3D" w:rsidRPr="00DA461D">
        <w:rPr>
          <w:rFonts w:ascii="Times New Roman" w:hAnsi="Times New Roman" w:cs="Times New Roman"/>
          <w:sz w:val="28"/>
          <w:szCs w:val="28"/>
        </w:rPr>
        <w:t xml:space="preserve">. Київ: КНУБА, </w:t>
      </w:r>
      <w:proofErr w:type="spellStart"/>
      <w:r w:rsidR="00E63E3D" w:rsidRPr="00DA461D">
        <w:rPr>
          <w:rFonts w:ascii="Times New Roman" w:hAnsi="Times New Roman" w:cs="Times New Roman"/>
          <w:sz w:val="28"/>
          <w:szCs w:val="28"/>
        </w:rPr>
        <w:t>Талком</w:t>
      </w:r>
      <w:proofErr w:type="spellEnd"/>
      <w:r w:rsidR="00E63E3D" w:rsidRPr="00DA461D">
        <w:rPr>
          <w:rFonts w:ascii="Times New Roman" w:hAnsi="Times New Roman" w:cs="Times New Roman"/>
          <w:sz w:val="28"/>
          <w:szCs w:val="28"/>
        </w:rPr>
        <w:t>, 2023. 26 с.</w:t>
      </w:r>
    </w:p>
    <w:p w14:paraId="241C2522" w14:textId="3EA03516" w:rsidR="00EB37BD" w:rsidRPr="00DA461D" w:rsidRDefault="00EB37BD" w:rsidP="00DA4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1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A461D">
        <w:rPr>
          <w:rFonts w:ascii="Times New Roman" w:hAnsi="Times New Roman" w:cs="Times New Roman"/>
          <w:sz w:val="28"/>
          <w:szCs w:val="28"/>
          <w:lang w:val="en-US"/>
        </w:rPr>
        <w:t>Gach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>,</w:t>
      </w:r>
      <w:r w:rsidRPr="00DA461D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Pr="00DA461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461D">
        <w:rPr>
          <w:rFonts w:ascii="Times New Roman" w:hAnsi="Times New Roman" w:cs="Times New Roman"/>
          <w:sz w:val="28"/>
          <w:szCs w:val="28"/>
          <w:lang w:val="en-US"/>
        </w:rPr>
        <w:t>Tsykvas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>,</w:t>
      </w:r>
      <w:r w:rsidRPr="00DA461D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Pr="00DA461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461D">
        <w:rPr>
          <w:rFonts w:ascii="Times New Roman" w:hAnsi="Times New Roman" w:cs="Times New Roman"/>
          <w:sz w:val="28"/>
          <w:szCs w:val="28"/>
          <w:lang w:val="en-US"/>
        </w:rPr>
        <w:t>Maliar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, </w:t>
      </w:r>
      <w:r w:rsidRPr="00DA46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A461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461D">
        <w:rPr>
          <w:rFonts w:ascii="Times New Roman" w:hAnsi="Times New Roman" w:cs="Times New Roman"/>
          <w:sz w:val="28"/>
          <w:szCs w:val="28"/>
          <w:lang w:val="en-US"/>
        </w:rPr>
        <w:t>Kornienko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, </w:t>
      </w:r>
      <w:r w:rsidRPr="00DA461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A461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461D">
        <w:rPr>
          <w:rFonts w:ascii="Times New Roman" w:hAnsi="Times New Roman" w:cs="Times New Roman"/>
          <w:sz w:val="28"/>
          <w:szCs w:val="28"/>
          <w:lang w:val="en-US"/>
        </w:rPr>
        <w:t>Khomulenko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, </w:t>
      </w:r>
      <w:r w:rsidRPr="00DA461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A461D">
        <w:rPr>
          <w:rFonts w:ascii="Times New Roman" w:hAnsi="Times New Roman" w:cs="Times New Roman"/>
          <w:sz w:val="28"/>
          <w:szCs w:val="28"/>
        </w:rPr>
        <w:t xml:space="preserve">. (2025).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Neuroscientific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Self-Regulation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61D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DA461D">
        <w:rPr>
          <w:rFonts w:ascii="Times New Roman" w:hAnsi="Times New Roman" w:cs="Times New Roman"/>
          <w:sz w:val="28"/>
          <w:szCs w:val="28"/>
        </w:rPr>
        <w:t xml:space="preserve">. </w:t>
      </w:r>
      <w:r w:rsidRPr="00DA461D"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Pr="00DA461D">
        <w:rPr>
          <w:rFonts w:ascii="Times New Roman" w:hAnsi="Times New Roman" w:cs="Times New Roman"/>
          <w:sz w:val="28"/>
          <w:szCs w:val="28"/>
        </w:rPr>
        <w:t xml:space="preserve">. </w:t>
      </w:r>
      <w:r w:rsidRPr="00DA461D">
        <w:rPr>
          <w:rFonts w:ascii="Times New Roman" w:hAnsi="Times New Roman" w:cs="Times New Roman"/>
          <w:i/>
          <w:sz w:val="28"/>
          <w:szCs w:val="28"/>
          <w:lang w:val="en-US"/>
        </w:rPr>
        <w:t>Broad Research in Artificial Intelligence and Neuroscience</w:t>
      </w:r>
      <w:r w:rsidRPr="00DA461D">
        <w:rPr>
          <w:rFonts w:ascii="Times New Roman" w:hAnsi="Times New Roman" w:cs="Times New Roman"/>
          <w:i/>
          <w:sz w:val="28"/>
          <w:szCs w:val="28"/>
        </w:rPr>
        <w:t>,</w:t>
      </w:r>
      <w:r w:rsidRPr="00DA46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DA461D">
        <w:rPr>
          <w:rFonts w:ascii="Times New Roman" w:hAnsi="Times New Roman" w:cs="Times New Roman"/>
          <w:sz w:val="28"/>
          <w:szCs w:val="28"/>
          <w:lang w:val="en-US"/>
        </w:rPr>
        <w:t>16(1)</w:t>
      </w:r>
      <w:r w:rsidRPr="00DA461D">
        <w:rPr>
          <w:rFonts w:ascii="Times New Roman" w:hAnsi="Times New Roman" w:cs="Times New Roman"/>
          <w:sz w:val="28"/>
          <w:szCs w:val="28"/>
        </w:rPr>
        <w:t>. 324-332.</w:t>
      </w:r>
    </w:p>
    <w:p w14:paraId="23216CFA" w14:textId="0F936476" w:rsidR="00EB37BD" w:rsidRPr="00DA461D" w:rsidRDefault="00DA461D" w:rsidP="00DA461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6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B37BD" w:rsidRPr="00DA4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 w:rsidR="00EB37BD" w:rsidRPr="00DA4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 w:rsidR="00EB37BD" w:rsidRPr="00DA46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EB37BD" w:rsidRPr="00DA46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 w:rsidR="00EB37BD" w:rsidRPr="00DA46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289-309.</w:t>
      </w:r>
    </w:p>
    <w:sectPr w:rsidR="00EB37BD" w:rsidRPr="00DA4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9E909902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6B1F"/>
    <w:multiLevelType w:val="hybridMultilevel"/>
    <w:tmpl w:val="0538ADC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4DE218B6"/>
    <w:multiLevelType w:val="multilevel"/>
    <w:tmpl w:val="86C2464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7C2C6B1D"/>
    <w:multiLevelType w:val="multilevel"/>
    <w:tmpl w:val="150CCC04"/>
    <w:lvl w:ilvl="0">
      <w:start w:val="1"/>
      <w:numFmt w:val="decimal"/>
      <w:lvlText w:val="%1."/>
      <w:lvlJc w:val="left"/>
      <w:pPr>
        <w:ind w:left="430" w:hanging="4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75" w:hanging="43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35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8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7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25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160" w:hanging="1800"/>
      </w:pPr>
      <w:rPr>
        <w:rFonts w:eastAsiaTheme="minorEastAsia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57"/>
    <w:rsid w:val="000B5686"/>
    <w:rsid w:val="001056D4"/>
    <w:rsid w:val="00126679"/>
    <w:rsid w:val="00140031"/>
    <w:rsid w:val="001F166B"/>
    <w:rsid w:val="001F61C3"/>
    <w:rsid w:val="00231C02"/>
    <w:rsid w:val="002B3EF8"/>
    <w:rsid w:val="003A5C2B"/>
    <w:rsid w:val="003E5ADB"/>
    <w:rsid w:val="00541A23"/>
    <w:rsid w:val="005C24CC"/>
    <w:rsid w:val="00615DD1"/>
    <w:rsid w:val="00645CD6"/>
    <w:rsid w:val="006910B3"/>
    <w:rsid w:val="006F00BA"/>
    <w:rsid w:val="00781884"/>
    <w:rsid w:val="00792757"/>
    <w:rsid w:val="008E7D08"/>
    <w:rsid w:val="0099317A"/>
    <w:rsid w:val="00997965"/>
    <w:rsid w:val="009A2101"/>
    <w:rsid w:val="009B369D"/>
    <w:rsid w:val="009B59C7"/>
    <w:rsid w:val="009D1553"/>
    <w:rsid w:val="009F0FAD"/>
    <w:rsid w:val="009F6EDA"/>
    <w:rsid w:val="00A44CF0"/>
    <w:rsid w:val="00AC437D"/>
    <w:rsid w:val="00DA461D"/>
    <w:rsid w:val="00DA462C"/>
    <w:rsid w:val="00DC1EC0"/>
    <w:rsid w:val="00DC25EC"/>
    <w:rsid w:val="00E1210C"/>
    <w:rsid w:val="00E2696A"/>
    <w:rsid w:val="00E40A59"/>
    <w:rsid w:val="00E63E3D"/>
    <w:rsid w:val="00EB37BD"/>
    <w:rsid w:val="00EB79D1"/>
    <w:rsid w:val="00ED15ED"/>
    <w:rsid w:val="00ED2E1F"/>
    <w:rsid w:val="00F537A9"/>
    <w:rsid w:val="00F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FD9D"/>
  <w15:chartTrackingRefBased/>
  <w15:docId w15:val="{4EE05A00-A90E-40AB-94EF-549A5AE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EE12C-CD2C-43C2-ABBA-3D698339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User</cp:lastModifiedBy>
  <cp:revision>43</cp:revision>
  <dcterms:created xsi:type="dcterms:W3CDTF">2023-12-30T11:47:00Z</dcterms:created>
  <dcterms:modified xsi:type="dcterms:W3CDTF">2025-05-12T10:40:00Z</dcterms:modified>
</cp:coreProperties>
</file>